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89CE5" w14:textId="644CF544" w:rsidR="00F14453" w:rsidRDefault="00771F60" w:rsidP="001F2673">
      <w:pPr>
        <w:jc w:val="center"/>
        <w:rPr>
          <w:b/>
          <w:bCs/>
          <w:sz w:val="32"/>
          <w:szCs w:val="32"/>
          <w:lang w:val="es-ES"/>
        </w:rPr>
      </w:pPr>
      <w:r>
        <w:rPr>
          <w:b/>
          <w:bCs/>
          <w:sz w:val="32"/>
          <w:szCs w:val="32"/>
          <w:lang w:val="es-ES"/>
        </w:rPr>
        <w:t>INMUNIZACIÓN FRENTE AL VENENO DE HIMENÓPTEROS</w:t>
      </w:r>
    </w:p>
    <w:p w14:paraId="4405770C" w14:textId="77777777" w:rsidR="00DA4A55" w:rsidRDefault="00DA4A55" w:rsidP="001F2673">
      <w:pPr>
        <w:jc w:val="center"/>
        <w:rPr>
          <w:b/>
          <w:bCs/>
          <w:sz w:val="32"/>
          <w:szCs w:val="32"/>
          <w:lang w:val="es-ES"/>
        </w:rPr>
      </w:pPr>
    </w:p>
    <w:p w14:paraId="776A1069" w14:textId="3BDCCBDC" w:rsidR="00DA4A55" w:rsidRPr="00DA4A55" w:rsidRDefault="00DA4A55" w:rsidP="00DA4A55">
      <w:pPr>
        <w:jc w:val="both"/>
        <w:rPr>
          <w:sz w:val="22"/>
          <w:szCs w:val="22"/>
          <w:lang w:val="es-ES"/>
        </w:rPr>
      </w:pPr>
      <w:r w:rsidRPr="00DA4A55">
        <w:rPr>
          <w:sz w:val="22"/>
          <w:szCs w:val="22"/>
          <w:lang w:val="es-ES"/>
        </w:rPr>
        <w:t xml:space="preserve">Autores: Hurtado Sáez, Gema; </w:t>
      </w:r>
      <w:proofErr w:type="spellStart"/>
      <w:r w:rsidRPr="00DA4A55">
        <w:rPr>
          <w:sz w:val="22"/>
          <w:szCs w:val="22"/>
          <w:lang w:val="es-ES"/>
        </w:rPr>
        <w:t>Samperiz</w:t>
      </w:r>
      <w:proofErr w:type="spellEnd"/>
      <w:r w:rsidRPr="00DA4A55">
        <w:rPr>
          <w:sz w:val="22"/>
          <w:szCs w:val="22"/>
          <w:lang w:val="es-ES"/>
        </w:rPr>
        <w:t xml:space="preserve"> </w:t>
      </w:r>
      <w:proofErr w:type="spellStart"/>
      <w:r w:rsidRPr="00DA4A55">
        <w:rPr>
          <w:sz w:val="22"/>
          <w:szCs w:val="22"/>
          <w:lang w:val="es-ES"/>
        </w:rPr>
        <w:t>Sinovas</w:t>
      </w:r>
      <w:proofErr w:type="spellEnd"/>
      <w:r w:rsidRPr="00DA4A55">
        <w:rPr>
          <w:sz w:val="22"/>
          <w:szCs w:val="22"/>
          <w:lang w:val="es-ES"/>
        </w:rPr>
        <w:t xml:space="preserve">, Lucía; </w:t>
      </w:r>
      <w:r>
        <w:rPr>
          <w:sz w:val="22"/>
          <w:szCs w:val="22"/>
          <w:lang w:val="es-ES"/>
        </w:rPr>
        <w:t>Moreno Herrera, Andrea;</w:t>
      </w:r>
      <w:r w:rsidRPr="00DA4A55">
        <w:rPr>
          <w:sz w:val="22"/>
          <w:szCs w:val="22"/>
          <w:lang w:val="es-ES"/>
        </w:rPr>
        <w:t xml:space="preserve"> </w:t>
      </w:r>
      <w:r>
        <w:rPr>
          <w:sz w:val="22"/>
          <w:szCs w:val="22"/>
          <w:lang w:val="es-ES"/>
        </w:rPr>
        <w:t xml:space="preserve">Bragado Alcaraz, Esther; </w:t>
      </w:r>
      <w:r>
        <w:rPr>
          <w:sz w:val="22"/>
          <w:szCs w:val="22"/>
          <w:lang w:val="es-ES"/>
        </w:rPr>
        <w:t xml:space="preserve"> Díaz García, Carolina; Guzmán Quirós, Sara.</w:t>
      </w:r>
    </w:p>
    <w:p w14:paraId="40C8BE8D" w14:textId="77777777" w:rsidR="00771F60" w:rsidRDefault="00771F60" w:rsidP="001F2673">
      <w:pPr>
        <w:jc w:val="center"/>
        <w:rPr>
          <w:b/>
          <w:bCs/>
          <w:sz w:val="32"/>
          <w:szCs w:val="32"/>
          <w:lang w:val="es-ES"/>
        </w:rPr>
      </w:pPr>
    </w:p>
    <w:p w14:paraId="39D1095E" w14:textId="4B884D68" w:rsidR="001F2673" w:rsidRPr="00640933" w:rsidRDefault="001F2673" w:rsidP="001F2673">
      <w:pPr>
        <w:rPr>
          <w:b/>
          <w:bCs/>
          <w:lang w:val="es-ES"/>
        </w:rPr>
      </w:pPr>
      <w:r w:rsidRPr="00640933">
        <w:rPr>
          <w:b/>
          <w:bCs/>
          <w:lang w:val="es-ES"/>
        </w:rPr>
        <w:t>Introducción</w:t>
      </w:r>
    </w:p>
    <w:p w14:paraId="18B8A6CC" w14:textId="2AF0F247" w:rsidR="001F2673" w:rsidRDefault="001F2673" w:rsidP="00AB686E">
      <w:pPr>
        <w:jc w:val="both"/>
        <w:rPr>
          <w:rFonts w:ascii="Calibri" w:eastAsia="Times New Roman" w:hAnsi="Calibri" w:cs="Calibri"/>
          <w:color w:val="000000"/>
          <w:lang w:val="es-ES" w:eastAsia="es-ES_tradnl"/>
        </w:rPr>
      </w:pPr>
      <w:r w:rsidRPr="001F2673">
        <w:rPr>
          <w:rFonts w:ascii="Calibri" w:eastAsia="Times New Roman" w:hAnsi="Calibri" w:cs="Calibri"/>
          <w:color w:val="000000"/>
          <w:lang w:val="es-ES" w:eastAsia="es-ES_tradnl"/>
        </w:rPr>
        <w:t>La picadura de insectos en la población pediátrica es un motivo de consulta frecuente</w:t>
      </w:r>
      <w:r w:rsidRPr="00640933">
        <w:rPr>
          <w:rFonts w:ascii="Calibri" w:eastAsia="Times New Roman" w:hAnsi="Calibri" w:cs="Calibri"/>
          <w:color w:val="000000"/>
          <w:lang w:val="es-ES" w:eastAsia="es-ES_tradnl"/>
        </w:rPr>
        <w:t xml:space="preserve">, siendo un número importante las producidas por himenópteros. </w:t>
      </w:r>
      <w:r w:rsidR="00AB686E">
        <w:rPr>
          <w:rFonts w:ascii="Calibri" w:eastAsia="Times New Roman" w:hAnsi="Calibri" w:cs="Calibri"/>
          <w:color w:val="000000"/>
          <w:lang w:val="es-ES" w:eastAsia="es-ES_tradnl"/>
        </w:rPr>
        <w:t>En los pacientes con hipersensibilidad alérgica</w:t>
      </w:r>
      <w:r w:rsidR="00771F60">
        <w:rPr>
          <w:rFonts w:ascii="Calibri" w:eastAsia="Times New Roman" w:hAnsi="Calibri" w:cs="Calibri"/>
          <w:color w:val="000000"/>
          <w:lang w:val="es-ES" w:eastAsia="es-ES_tradnl"/>
        </w:rPr>
        <w:t xml:space="preserve"> al veneno de estos insectos</w:t>
      </w:r>
      <w:r w:rsidR="00AB686E">
        <w:rPr>
          <w:rFonts w:ascii="Calibri" w:eastAsia="Times New Roman" w:hAnsi="Calibri" w:cs="Calibri"/>
          <w:color w:val="000000"/>
          <w:lang w:val="es-ES" w:eastAsia="es-ES_tradnl"/>
        </w:rPr>
        <w:t>, lo</w:t>
      </w:r>
      <w:r w:rsidRPr="001F2673">
        <w:rPr>
          <w:rFonts w:ascii="Calibri" w:eastAsia="Times New Roman" w:hAnsi="Calibri" w:cs="Calibri"/>
          <w:color w:val="000000"/>
          <w:lang w:val="es-ES" w:eastAsia="es-ES_tradnl"/>
        </w:rPr>
        <w:t>s s</w:t>
      </w:r>
      <w:r w:rsidRPr="00640933">
        <w:rPr>
          <w:rFonts w:ascii="Calibri" w:eastAsia="Times New Roman" w:hAnsi="Calibri" w:cs="Calibri"/>
          <w:color w:val="000000"/>
          <w:lang w:val="es-ES" w:eastAsia="es-ES_tradnl"/>
        </w:rPr>
        <w:t>í</w:t>
      </w:r>
      <w:r w:rsidRPr="001F2673">
        <w:rPr>
          <w:rFonts w:ascii="Calibri" w:eastAsia="Times New Roman" w:hAnsi="Calibri" w:cs="Calibri"/>
          <w:color w:val="000000"/>
          <w:lang w:val="es-ES" w:eastAsia="es-ES_tradnl"/>
        </w:rPr>
        <w:t>ntomas que se pueden producir tras una picadura pueden variar: desde una reacci</w:t>
      </w:r>
      <w:r w:rsidRPr="00640933">
        <w:rPr>
          <w:rFonts w:ascii="Calibri" w:eastAsia="Times New Roman" w:hAnsi="Calibri" w:cs="Calibri"/>
          <w:color w:val="000000"/>
          <w:lang w:val="es-ES" w:eastAsia="es-ES_tradnl"/>
        </w:rPr>
        <w:t>ó</w:t>
      </w:r>
      <w:r w:rsidRPr="001F2673">
        <w:rPr>
          <w:rFonts w:ascii="Calibri" w:eastAsia="Times New Roman" w:hAnsi="Calibri" w:cs="Calibri"/>
          <w:color w:val="000000"/>
          <w:lang w:val="es-ES" w:eastAsia="es-ES_tradnl"/>
        </w:rPr>
        <w:t>n local hasta una anafilaxia. La prevalencia en Europa de una reacci</w:t>
      </w:r>
      <w:r w:rsidRPr="00640933">
        <w:rPr>
          <w:rFonts w:ascii="Calibri" w:eastAsia="Times New Roman" w:hAnsi="Calibri" w:cs="Calibri"/>
          <w:color w:val="000000"/>
          <w:lang w:val="es-ES" w:eastAsia="es-ES_tradnl"/>
        </w:rPr>
        <w:t>ó</w:t>
      </w:r>
      <w:r w:rsidRPr="001F2673">
        <w:rPr>
          <w:rFonts w:ascii="Calibri" w:eastAsia="Times New Roman" w:hAnsi="Calibri" w:cs="Calibri"/>
          <w:color w:val="000000"/>
          <w:lang w:val="es-ES" w:eastAsia="es-ES_tradnl"/>
        </w:rPr>
        <w:t>n sist</w:t>
      </w:r>
      <w:r w:rsidRPr="00640933">
        <w:rPr>
          <w:rFonts w:ascii="Calibri" w:eastAsia="Times New Roman" w:hAnsi="Calibri" w:cs="Calibri"/>
          <w:color w:val="000000"/>
          <w:lang w:val="es-ES" w:eastAsia="es-ES_tradnl"/>
        </w:rPr>
        <w:t>é</w:t>
      </w:r>
      <w:r w:rsidRPr="001F2673">
        <w:rPr>
          <w:rFonts w:ascii="Calibri" w:eastAsia="Times New Roman" w:hAnsi="Calibri" w:cs="Calibri"/>
          <w:color w:val="000000"/>
          <w:lang w:val="es-ES" w:eastAsia="es-ES_tradnl"/>
        </w:rPr>
        <w:t>mica tras la picadura de himen</w:t>
      </w:r>
      <w:r w:rsidRPr="00640933">
        <w:rPr>
          <w:rFonts w:ascii="Calibri" w:eastAsia="Times New Roman" w:hAnsi="Calibri" w:cs="Calibri"/>
          <w:color w:val="000000"/>
          <w:lang w:val="es-ES" w:eastAsia="es-ES_tradnl"/>
        </w:rPr>
        <w:t>ó</w:t>
      </w:r>
      <w:r w:rsidRPr="001F2673">
        <w:rPr>
          <w:rFonts w:ascii="Calibri" w:eastAsia="Times New Roman" w:hAnsi="Calibri" w:cs="Calibri"/>
          <w:color w:val="000000"/>
          <w:lang w:val="es-ES" w:eastAsia="es-ES_tradnl"/>
        </w:rPr>
        <w:t>pteros en ni</w:t>
      </w:r>
      <w:r w:rsidRPr="00640933">
        <w:rPr>
          <w:rFonts w:ascii="Calibri" w:eastAsia="Times New Roman" w:hAnsi="Calibri" w:cs="Calibri"/>
          <w:color w:val="000000"/>
          <w:lang w:val="es-ES" w:eastAsia="es-ES_tradnl"/>
        </w:rPr>
        <w:t>ñ</w:t>
      </w:r>
      <w:r w:rsidRPr="001F2673">
        <w:rPr>
          <w:rFonts w:ascii="Calibri" w:eastAsia="Times New Roman" w:hAnsi="Calibri" w:cs="Calibri"/>
          <w:color w:val="000000"/>
          <w:lang w:val="es-ES" w:eastAsia="es-ES_tradnl"/>
        </w:rPr>
        <w:t>os es del 0,4-0,8 %</w:t>
      </w:r>
      <w:r w:rsidRPr="00640933">
        <w:rPr>
          <w:rFonts w:ascii="Calibri" w:eastAsia="Times New Roman" w:hAnsi="Calibri" w:cs="Calibri"/>
          <w:color w:val="000000"/>
          <w:lang w:val="es-ES" w:eastAsia="es-ES_tradnl"/>
        </w:rPr>
        <w:t>.</w:t>
      </w:r>
      <w:r w:rsidR="00AB686E">
        <w:rPr>
          <w:rFonts w:ascii="Calibri" w:eastAsia="Times New Roman" w:hAnsi="Calibri" w:cs="Calibri"/>
          <w:color w:val="000000"/>
          <w:lang w:val="es-ES" w:eastAsia="es-ES_tradnl"/>
        </w:rPr>
        <w:t xml:space="preserve"> Como tratamiento </w:t>
      </w:r>
      <w:r w:rsidR="00771F60">
        <w:rPr>
          <w:rFonts w:ascii="Calibri" w:eastAsia="Times New Roman" w:hAnsi="Calibri" w:cs="Calibri"/>
          <w:color w:val="000000"/>
          <w:lang w:val="es-ES" w:eastAsia="es-ES_tradnl"/>
        </w:rPr>
        <w:t xml:space="preserve">disponemos </w:t>
      </w:r>
      <w:r w:rsidR="00AB686E">
        <w:rPr>
          <w:rFonts w:ascii="Calibri" w:eastAsia="Times New Roman" w:hAnsi="Calibri" w:cs="Calibri"/>
          <w:color w:val="000000"/>
          <w:lang w:val="es-ES" w:eastAsia="es-ES_tradnl"/>
        </w:rPr>
        <w:t xml:space="preserve">de medias de evitación, siendo el único tratamiento curativo </w:t>
      </w:r>
      <w:r w:rsidR="00640933" w:rsidRPr="00640933">
        <w:rPr>
          <w:rFonts w:ascii="Calibri" w:eastAsia="Times New Roman" w:hAnsi="Calibri" w:cs="Calibri"/>
          <w:color w:val="000000"/>
          <w:lang w:val="es-ES" w:eastAsia="es-ES_tradnl"/>
        </w:rPr>
        <w:t>la inmunoterapia específica</w:t>
      </w:r>
      <w:r w:rsidR="00AB686E">
        <w:rPr>
          <w:rFonts w:ascii="Calibri" w:eastAsia="Times New Roman" w:hAnsi="Calibri" w:cs="Calibri"/>
          <w:color w:val="000000"/>
          <w:lang w:val="es-ES" w:eastAsia="es-ES_tradnl"/>
        </w:rPr>
        <w:t xml:space="preserve"> con alérgenos (ITA).</w:t>
      </w:r>
      <w:r w:rsidR="00327FF8">
        <w:rPr>
          <w:rFonts w:ascii="Calibri" w:eastAsia="Times New Roman" w:hAnsi="Calibri" w:cs="Calibri"/>
          <w:color w:val="000000"/>
          <w:lang w:val="es-ES" w:eastAsia="es-ES_tradnl"/>
        </w:rPr>
        <w:t xml:space="preserve"> Este debe administrarse siempre en medio hospitalario, siendo validado recientemente como tratamiento hospitalario.</w:t>
      </w:r>
    </w:p>
    <w:p w14:paraId="29657A04" w14:textId="77777777" w:rsidR="00AB686E" w:rsidRPr="00640933" w:rsidRDefault="00AB686E" w:rsidP="00AB686E">
      <w:pPr>
        <w:jc w:val="both"/>
        <w:rPr>
          <w:b/>
          <w:bCs/>
          <w:lang w:val="es-ES"/>
        </w:rPr>
      </w:pPr>
    </w:p>
    <w:p w14:paraId="7F2E0A4B" w14:textId="79E9E54C" w:rsidR="001F2673" w:rsidRPr="00640933" w:rsidRDefault="001F2673" w:rsidP="001F2673">
      <w:pPr>
        <w:rPr>
          <w:b/>
          <w:bCs/>
          <w:lang w:val="es-ES"/>
        </w:rPr>
      </w:pPr>
      <w:r w:rsidRPr="00640933">
        <w:rPr>
          <w:b/>
          <w:bCs/>
          <w:lang w:val="es-ES"/>
        </w:rPr>
        <w:t>Caso</w:t>
      </w:r>
      <w:r w:rsidR="00AB686E">
        <w:rPr>
          <w:b/>
          <w:bCs/>
          <w:lang w:val="es-ES"/>
        </w:rPr>
        <w:t xml:space="preserve">s </w:t>
      </w:r>
      <w:r w:rsidRPr="00640933">
        <w:rPr>
          <w:b/>
          <w:bCs/>
          <w:lang w:val="es-ES"/>
        </w:rPr>
        <w:t>clínico</w:t>
      </w:r>
      <w:r w:rsidR="00AB686E">
        <w:rPr>
          <w:b/>
          <w:bCs/>
          <w:lang w:val="es-ES"/>
        </w:rPr>
        <w:t>s</w:t>
      </w:r>
    </w:p>
    <w:p w14:paraId="07873F4B" w14:textId="64ACEE19" w:rsidR="001F2673" w:rsidRPr="00640933" w:rsidRDefault="00AB686E" w:rsidP="00327FF8">
      <w:pPr>
        <w:jc w:val="both"/>
        <w:rPr>
          <w:lang w:val="es-ES"/>
        </w:rPr>
      </w:pPr>
      <w:r w:rsidRPr="00AB686E">
        <w:rPr>
          <w:u w:val="single"/>
          <w:lang w:val="es-ES"/>
        </w:rPr>
        <w:t>Caso 1:</w:t>
      </w:r>
      <w:r>
        <w:rPr>
          <w:lang w:val="es-ES"/>
        </w:rPr>
        <w:t xml:space="preserve"> </w:t>
      </w:r>
      <w:r w:rsidR="001F2673" w:rsidRPr="00640933">
        <w:rPr>
          <w:lang w:val="es-ES"/>
        </w:rPr>
        <w:t xml:space="preserve">Escolar de 11 años </w:t>
      </w:r>
      <w:r w:rsidR="00771F60">
        <w:rPr>
          <w:lang w:val="es-ES"/>
        </w:rPr>
        <w:t xml:space="preserve">con sospecha </w:t>
      </w:r>
      <w:r w:rsidR="001F2673" w:rsidRPr="00640933">
        <w:rPr>
          <w:lang w:val="es-ES"/>
        </w:rPr>
        <w:t xml:space="preserve">alergia </w:t>
      </w:r>
      <w:proofErr w:type="spellStart"/>
      <w:r w:rsidR="001F2673" w:rsidRPr="00640933">
        <w:rPr>
          <w:lang w:val="es-ES"/>
        </w:rPr>
        <w:t>IgE</w:t>
      </w:r>
      <w:proofErr w:type="spellEnd"/>
      <w:r w:rsidR="001F2673" w:rsidRPr="00640933">
        <w:rPr>
          <w:lang w:val="es-ES"/>
        </w:rPr>
        <w:t xml:space="preserve"> mediada a veneno de avispa. Presenta reacción sistémica grado I</w:t>
      </w:r>
      <w:r w:rsidR="00D629F5">
        <w:rPr>
          <w:lang w:val="es-ES"/>
        </w:rPr>
        <w:t xml:space="preserve"> según Müller</w:t>
      </w:r>
      <w:r w:rsidR="001F2673" w:rsidRPr="00640933">
        <w:rPr>
          <w:lang w:val="es-ES"/>
        </w:rPr>
        <w:t xml:space="preserve"> con urticaria generalizada.</w:t>
      </w:r>
      <w:r w:rsidR="00640933" w:rsidRPr="00640933">
        <w:rPr>
          <w:lang w:val="es-ES"/>
        </w:rPr>
        <w:t xml:space="preserve"> Se realiza estudio alergológico completo con sensibilización en prueba cutánea de intradermorreacción a </w:t>
      </w:r>
      <w:proofErr w:type="spellStart"/>
      <w:r w:rsidR="00640933" w:rsidRPr="00640933">
        <w:rPr>
          <w:lang w:val="es-ES"/>
        </w:rPr>
        <w:t>vespula</w:t>
      </w:r>
      <w:proofErr w:type="spellEnd"/>
      <w:r w:rsidR="00640933" w:rsidRPr="00640933">
        <w:rPr>
          <w:lang w:val="es-ES"/>
        </w:rPr>
        <w:t xml:space="preserve"> </w:t>
      </w:r>
      <w:proofErr w:type="spellStart"/>
      <w:r w:rsidR="00640933" w:rsidRPr="00640933">
        <w:rPr>
          <w:lang w:val="es-ES"/>
        </w:rPr>
        <w:t>vulgaris</w:t>
      </w:r>
      <w:proofErr w:type="spellEnd"/>
      <w:r w:rsidR="00640933" w:rsidRPr="00640933">
        <w:rPr>
          <w:lang w:val="es-ES"/>
        </w:rPr>
        <w:t xml:space="preserve"> con 0,1mcg/ml de concentración e </w:t>
      </w:r>
      <w:proofErr w:type="spellStart"/>
      <w:r w:rsidR="00640933" w:rsidRPr="00640933">
        <w:rPr>
          <w:lang w:val="es-ES"/>
        </w:rPr>
        <w:t>IgE</w:t>
      </w:r>
      <w:proofErr w:type="spellEnd"/>
      <w:r w:rsidR="00640933" w:rsidRPr="00640933">
        <w:rPr>
          <w:lang w:val="es-ES"/>
        </w:rPr>
        <w:t xml:space="preserve"> específica 46,5kUA/l; y sensibilización a </w:t>
      </w:r>
      <w:proofErr w:type="spellStart"/>
      <w:r w:rsidR="00640933" w:rsidRPr="00640933">
        <w:rPr>
          <w:lang w:val="es-ES"/>
        </w:rPr>
        <w:t>polistes</w:t>
      </w:r>
      <w:proofErr w:type="spellEnd"/>
      <w:r w:rsidR="00640933" w:rsidRPr="00640933">
        <w:rPr>
          <w:lang w:val="es-ES"/>
        </w:rPr>
        <w:t xml:space="preserve"> con intradermorreacción a 0,0001mcg/l e </w:t>
      </w:r>
      <w:proofErr w:type="spellStart"/>
      <w:r w:rsidR="00640933" w:rsidRPr="00640933">
        <w:rPr>
          <w:lang w:val="es-ES"/>
        </w:rPr>
        <w:t>IgE</w:t>
      </w:r>
      <w:proofErr w:type="spellEnd"/>
      <w:r w:rsidR="00640933" w:rsidRPr="00640933">
        <w:rPr>
          <w:lang w:val="es-ES"/>
        </w:rPr>
        <w:t xml:space="preserve"> específica 94,4kUA/l.</w:t>
      </w:r>
    </w:p>
    <w:p w14:paraId="0B77C4FA" w14:textId="39413BC4" w:rsidR="00640933" w:rsidRDefault="00640933" w:rsidP="00327FF8">
      <w:pPr>
        <w:jc w:val="both"/>
        <w:rPr>
          <w:lang w:val="es-ES"/>
        </w:rPr>
      </w:pPr>
      <w:r>
        <w:rPr>
          <w:lang w:val="es-ES"/>
        </w:rPr>
        <w:t xml:space="preserve">Ante estos resultados se realiza diagnóstico de alergia </w:t>
      </w:r>
      <w:proofErr w:type="spellStart"/>
      <w:r>
        <w:rPr>
          <w:lang w:val="es-ES"/>
        </w:rPr>
        <w:t>IgE</w:t>
      </w:r>
      <w:proofErr w:type="spellEnd"/>
      <w:r>
        <w:rPr>
          <w:lang w:val="es-ES"/>
        </w:rPr>
        <w:t xml:space="preserve"> mediada al veneno de avispa e hipersensibilidad al veneno de </w:t>
      </w:r>
      <w:proofErr w:type="spellStart"/>
      <w:r>
        <w:rPr>
          <w:lang w:val="es-ES"/>
        </w:rPr>
        <w:t>véspula</w:t>
      </w:r>
      <w:proofErr w:type="spellEnd"/>
      <w:r>
        <w:rPr>
          <w:lang w:val="es-ES"/>
        </w:rPr>
        <w:t>. Siendo este paciente mayor de 5 años</w:t>
      </w:r>
      <w:r w:rsidR="00771F60">
        <w:rPr>
          <w:lang w:val="es-ES"/>
        </w:rPr>
        <w:t>, se consensua con la familia posibilidad de</w:t>
      </w:r>
      <w:r>
        <w:rPr>
          <w:lang w:val="es-ES"/>
        </w:rPr>
        <w:t xml:space="preserve"> inicio de</w:t>
      </w:r>
      <w:r w:rsidR="00771F60">
        <w:rPr>
          <w:lang w:val="es-ES"/>
        </w:rPr>
        <w:t xml:space="preserve"> tratamiento con</w:t>
      </w:r>
      <w:r>
        <w:rPr>
          <w:lang w:val="es-ES"/>
        </w:rPr>
        <w:t xml:space="preserve"> inmunoterapia específica.</w:t>
      </w:r>
    </w:p>
    <w:p w14:paraId="254B670A" w14:textId="467DC9BB" w:rsidR="001F2673" w:rsidRPr="00AB686E" w:rsidRDefault="00AB686E" w:rsidP="00327FF8">
      <w:pPr>
        <w:jc w:val="both"/>
        <w:rPr>
          <w:u w:val="single"/>
          <w:lang w:val="es-ES"/>
        </w:rPr>
      </w:pPr>
      <w:r w:rsidRPr="00AB686E">
        <w:rPr>
          <w:u w:val="single"/>
          <w:lang w:val="es-ES"/>
        </w:rPr>
        <w:t>Caso 2:</w:t>
      </w:r>
      <w:r>
        <w:rPr>
          <w:u w:val="single"/>
          <w:lang w:val="es-ES"/>
        </w:rPr>
        <w:t xml:space="preserve"> </w:t>
      </w:r>
      <w:r w:rsidRPr="00AB686E">
        <w:rPr>
          <w:lang w:val="es-ES"/>
        </w:rPr>
        <w:t>Escolar de 12 años</w:t>
      </w:r>
      <w:r>
        <w:rPr>
          <w:lang w:val="es-ES"/>
        </w:rPr>
        <w:t xml:space="preserve"> diagnosticado de alergia al veneno de abeja a raíz de una reacción </w:t>
      </w:r>
      <w:proofErr w:type="spellStart"/>
      <w:r>
        <w:rPr>
          <w:lang w:val="es-ES"/>
        </w:rPr>
        <w:t>urticarial</w:t>
      </w:r>
      <w:proofErr w:type="spellEnd"/>
      <w:r>
        <w:rPr>
          <w:lang w:val="es-ES"/>
        </w:rPr>
        <w:t xml:space="preserve"> tras picadura. Se realiza estudio alergológico con </w:t>
      </w:r>
      <w:proofErr w:type="spellStart"/>
      <w:r>
        <w:rPr>
          <w:lang w:val="es-ES"/>
        </w:rPr>
        <w:t>IgE</w:t>
      </w:r>
      <w:proofErr w:type="spellEnd"/>
      <w:r>
        <w:rPr>
          <w:lang w:val="es-ES"/>
        </w:rPr>
        <w:t xml:space="preserve"> </w:t>
      </w:r>
      <w:proofErr w:type="gramStart"/>
      <w:r>
        <w:rPr>
          <w:lang w:val="es-ES"/>
        </w:rPr>
        <w:t>específica  a</w:t>
      </w:r>
      <w:proofErr w:type="gramEnd"/>
      <w:r>
        <w:rPr>
          <w:lang w:val="es-ES"/>
        </w:rPr>
        <w:t xml:space="preserve"> Apis </w:t>
      </w:r>
      <w:proofErr w:type="spellStart"/>
      <w:r>
        <w:rPr>
          <w:lang w:val="es-ES"/>
        </w:rPr>
        <w:t>mellifera</w:t>
      </w:r>
      <w:proofErr w:type="spellEnd"/>
      <w:r>
        <w:rPr>
          <w:lang w:val="es-ES"/>
        </w:rPr>
        <w:t xml:space="preserve"> 10ku/L</w:t>
      </w:r>
      <w:r w:rsidR="00327FF8">
        <w:rPr>
          <w:lang w:val="es-ES"/>
        </w:rPr>
        <w:t>. Se inicia en 2021 inmunoterapia específica con tolerancia adecuada, presentando al año como única clínica una reacción local leve. Al año de tratamiento presenta picadura de abeja en dedo, presentando únicamente clínica de molestia. No otra reacción.</w:t>
      </w:r>
    </w:p>
    <w:p w14:paraId="3AD058E5" w14:textId="77777777" w:rsidR="00AB686E" w:rsidRPr="001F2673" w:rsidRDefault="00AB686E" w:rsidP="001F2673">
      <w:pPr>
        <w:rPr>
          <w:lang w:val="es-ES"/>
        </w:rPr>
      </w:pPr>
    </w:p>
    <w:p w14:paraId="07707CAC" w14:textId="77777777" w:rsidR="00640933" w:rsidRDefault="001F2673" w:rsidP="00640933">
      <w:pPr>
        <w:rPr>
          <w:b/>
          <w:bCs/>
          <w:lang w:val="es-ES"/>
        </w:rPr>
      </w:pPr>
      <w:r w:rsidRPr="001F2673">
        <w:rPr>
          <w:b/>
          <w:bCs/>
          <w:lang w:val="es-ES"/>
        </w:rPr>
        <w:t>Conclusiones</w:t>
      </w:r>
    </w:p>
    <w:p w14:paraId="65292160" w14:textId="402D6B62" w:rsidR="00327FF8" w:rsidRDefault="00327FF8" w:rsidP="00771F60">
      <w:pPr>
        <w:jc w:val="both"/>
        <w:rPr>
          <w:lang w:val="es-ES"/>
        </w:rPr>
      </w:pPr>
      <w:r>
        <w:rPr>
          <w:lang w:val="es-ES"/>
        </w:rPr>
        <w:t xml:space="preserve">Presentamos los casos de 2 pacientes que realizan una reacción cutánea </w:t>
      </w:r>
      <w:r w:rsidR="00D629F5">
        <w:rPr>
          <w:lang w:val="es-ES"/>
        </w:rPr>
        <w:t xml:space="preserve">sin anafilaxia o reacción cutánea grado I según Müller, </w:t>
      </w:r>
      <w:r>
        <w:rPr>
          <w:lang w:val="es-ES"/>
        </w:rPr>
        <w:t xml:space="preserve">tras picaduras de himenópteros. De acuerdo con la literatura, en estos casos no existe consenso de indicación de ITA. Se decide su inicio </w:t>
      </w:r>
      <w:r w:rsidR="00D629F5">
        <w:rPr>
          <w:lang w:val="es-ES"/>
        </w:rPr>
        <w:t xml:space="preserve">consensuado </w:t>
      </w:r>
      <w:r>
        <w:rPr>
          <w:lang w:val="es-ES"/>
        </w:rPr>
        <w:t xml:space="preserve">con los padres, ya que ambos habitaban en medios rurales. En el segundo caso presentado se muestra la seguridad tanto en la administración de la vacuna como en la </w:t>
      </w:r>
      <w:proofErr w:type="gramStart"/>
      <w:r>
        <w:rPr>
          <w:lang w:val="es-ES"/>
        </w:rPr>
        <w:t>re exposición</w:t>
      </w:r>
      <w:proofErr w:type="gramEnd"/>
      <w:r>
        <w:rPr>
          <w:lang w:val="es-ES"/>
        </w:rPr>
        <w:t xml:space="preserve"> a este alérgeno.</w:t>
      </w:r>
    </w:p>
    <w:p w14:paraId="3C8B929D" w14:textId="7D7EB33D" w:rsidR="00A83B0B" w:rsidRPr="00771F60" w:rsidRDefault="00640933" w:rsidP="00771F60">
      <w:pPr>
        <w:jc w:val="both"/>
        <w:rPr>
          <w:rFonts w:cstheme="minorHAnsi"/>
        </w:rPr>
      </w:pPr>
      <w:r>
        <w:rPr>
          <w:rFonts w:cstheme="minorHAnsi"/>
        </w:rPr>
        <w:t xml:space="preserve">El tratamiento </w:t>
      </w:r>
      <w:r w:rsidR="00723280">
        <w:rPr>
          <w:rFonts w:cstheme="minorHAnsi"/>
        </w:rPr>
        <w:t xml:space="preserve">con inmunoterapia específica permite </w:t>
      </w:r>
      <w:r w:rsidR="00327FF8">
        <w:rPr>
          <w:rFonts w:cstheme="minorHAnsi"/>
        </w:rPr>
        <w:t xml:space="preserve">a </w:t>
      </w:r>
      <w:r w:rsidR="00723280">
        <w:rPr>
          <w:rFonts w:cstheme="minorHAnsi"/>
        </w:rPr>
        <w:t xml:space="preserve">pacientes mejorar su calidad de vida, evitando reacciones sistémicas potencialmente graves </w:t>
      </w:r>
      <w:r w:rsidR="00771F60">
        <w:rPr>
          <w:rFonts w:cstheme="minorHAnsi"/>
        </w:rPr>
        <w:t xml:space="preserve">y tranquilidad ante situaciones de alta exposición y difícil acceso a atención sanitaria </w:t>
      </w:r>
      <w:proofErr w:type="spellStart"/>
      <w:r w:rsidR="00771F60">
        <w:rPr>
          <w:rFonts w:cstheme="minorHAnsi"/>
        </w:rPr>
        <w:t>urgente.</w:t>
      </w:r>
      <w:proofErr w:type="spellEnd"/>
    </w:p>
    <w:sectPr w:rsidR="00A83B0B" w:rsidRPr="00771F60" w:rsidSect="005C1F67">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673"/>
    <w:rsid w:val="001F2673"/>
    <w:rsid w:val="0024380C"/>
    <w:rsid w:val="00327FF8"/>
    <w:rsid w:val="004167D4"/>
    <w:rsid w:val="00573683"/>
    <w:rsid w:val="005C1F67"/>
    <w:rsid w:val="00607E79"/>
    <w:rsid w:val="00640933"/>
    <w:rsid w:val="00723280"/>
    <w:rsid w:val="00771F60"/>
    <w:rsid w:val="00A83B0B"/>
    <w:rsid w:val="00AB686E"/>
    <w:rsid w:val="00D629F5"/>
    <w:rsid w:val="00DA4A5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45B39E07"/>
  <w14:defaultImageDpi w14:val="32767"/>
  <w15:chartTrackingRefBased/>
  <w15:docId w15:val="{13B75C6B-7CBA-104C-ACF2-495F8927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40933"/>
    <w:pPr>
      <w:spacing w:before="100" w:beforeAutospacing="1" w:after="100" w:afterAutospacing="1"/>
    </w:pPr>
    <w:rPr>
      <w:rFonts w:ascii="Times New Roman" w:eastAsia="Times New Roman" w:hAnsi="Times New Roman" w:cs="Times New Roman"/>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31042">
      <w:bodyDiv w:val="1"/>
      <w:marLeft w:val="0"/>
      <w:marRight w:val="0"/>
      <w:marTop w:val="0"/>
      <w:marBottom w:val="0"/>
      <w:divBdr>
        <w:top w:val="none" w:sz="0" w:space="0" w:color="auto"/>
        <w:left w:val="none" w:sz="0" w:space="0" w:color="auto"/>
        <w:bottom w:val="none" w:sz="0" w:space="0" w:color="auto"/>
        <w:right w:val="none" w:sz="0" w:space="0" w:color="auto"/>
      </w:divBdr>
    </w:div>
    <w:div w:id="96366962">
      <w:bodyDiv w:val="1"/>
      <w:marLeft w:val="0"/>
      <w:marRight w:val="0"/>
      <w:marTop w:val="0"/>
      <w:marBottom w:val="0"/>
      <w:divBdr>
        <w:top w:val="none" w:sz="0" w:space="0" w:color="auto"/>
        <w:left w:val="none" w:sz="0" w:space="0" w:color="auto"/>
        <w:bottom w:val="none" w:sz="0" w:space="0" w:color="auto"/>
        <w:right w:val="none" w:sz="0" w:space="0" w:color="auto"/>
      </w:divBdr>
      <w:divsChild>
        <w:div w:id="191967919">
          <w:marLeft w:val="0"/>
          <w:marRight w:val="0"/>
          <w:marTop w:val="0"/>
          <w:marBottom w:val="0"/>
          <w:divBdr>
            <w:top w:val="none" w:sz="0" w:space="0" w:color="auto"/>
            <w:left w:val="none" w:sz="0" w:space="0" w:color="auto"/>
            <w:bottom w:val="none" w:sz="0" w:space="0" w:color="auto"/>
            <w:right w:val="none" w:sz="0" w:space="0" w:color="auto"/>
          </w:divBdr>
          <w:divsChild>
            <w:div w:id="765349987">
              <w:marLeft w:val="0"/>
              <w:marRight w:val="0"/>
              <w:marTop w:val="0"/>
              <w:marBottom w:val="0"/>
              <w:divBdr>
                <w:top w:val="none" w:sz="0" w:space="0" w:color="auto"/>
                <w:left w:val="none" w:sz="0" w:space="0" w:color="auto"/>
                <w:bottom w:val="none" w:sz="0" w:space="0" w:color="auto"/>
                <w:right w:val="none" w:sz="0" w:space="0" w:color="auto"/>
              </w:divBdr>
              <w:divsChild>
                <w:div w:id="131953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246190">
      <w:bodyDiv w:val="1"/>
      <w:marLeft w:val="0"/>
      <w:marRight w:val="0"/>
      <w:marTop w:val="0"/>
      <w:marBottom w:val="0"/>
      <w:divBdr>
        <w:top w:val="none" w:sz="0" w:space="0" w:color="auto"/>
        <w:left w:val="none" w:sz="0" w:space="0" w:color="auto"/>
        <w:bottom w:val="none" w:sz="0" w:space="0" w:color="auto"/>
        <w:right w:val="none" w:sz="0" w:space="0" w:color="auto"/>
      </w:divBdr>
      <w:divsChild>
        <w:div w:id="153765214">
          <w:marLeft w:val="0"/>
          <w:marRight w:val="0"/>
          <w:marTop w:val="0"/>
          <w:marBottom w:val="0"/>
          <w:divBdr>
            <w:top w:val="none" w:sz="0" w:space="0" w:color="auto"/>
            <w:left w:val="none" w:sz="0" w:space="0" w:color="auto"/>
            <w:bottom w:val="none" w:sz="0" w:space="0" w:color="auto"/>
            <w:right w:val="none" w:sz="0" w:space="0" w:color="auto"/>
          </w:divBdr>
          <w:divsChild>
            <w:div w:id="807934748">
              <w:marLeft w:val="0"/>
              <w:marRight w:val="0"/>
              <w:marTop w:val="0"/>
              <w:marBottom w:val="0"/>
              <w:divBdr>
                <w:top w:val="none" w:sz="0" w:space="0" w:color="auto"/>
                <w:left w:val="none" w:sz="0" w:space="0" w:color="auto"/>
                <w:bottom w:val="none" w:sz="0" w:space="0" w:color="auto"/>
                <w:right w:val="none" w:sz="0" w:space="0" w:color="auto"/>
              </w:divBdr>
              <w:divsChild>
                <w:div w:id="38818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431</Words>
  <Characters>2371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Hurtado Saez, Gema</dc:creator>
  <cp:keywords/>
  <dc:description/>
  <cp:lastModifiedBy>Hurtado Saez, Gema</cp:lastModifiedBy>
  <cp:revision>2</cp:revision>
  <dcterms:created xsi:type="dcterms:W3CDTF">2023-11-07T18:17:00Z</dcterms:created>
  <dcterms:modified xsi:type="dcterms:W3CDTF">2023-11-07T18:17:00Z</dcterms:modified>
</cp:coreProperties>
</file>